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C9" w:rsidRDefault="00B064C9" w:rsidP="00B064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135/24</w:t>
      </w: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21 maja 2025 r.</w:t>
      </w: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B064C9" w:rsidRDefault="00B064C9" w:rsidP="00B064C9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21 maja 2025 r. w Przeworsku na posiedzeniu niejawnym  </w:t>
      </w: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wniosku  BEST II Niestandaryzowanego Funduszu Inwestycyjnego Zamkniętego Wierzytelności w Gdyni</w:t>
      </w: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Łukasza Krupa, Aliny </w:t>
      </w:r>
      <w:proofErr w:type="spellStart"/>
      <w:r>
        <w:rPr>
          <w:rFonts w:ascii="Arial" w:hAnsi="Arial" w:cs="Arial"/>
          <w:sz w:val="22"/>
          <w:szCs w:val="22"/>
        </w:rPr>
        <w:t>Techmańskiej</w:t>
      </w:r>
      <w:proofErr w:type="spellEnd"/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stwierdzenie nabycia spadku po Marii Krupa</w:t>
      </w:r>
    </w:p>
    <w:p w:rsidR="00B064C9" w:rsidRDefault="00B064C9" w:rsidP="00B064C9">
      <w:pPr>
        <w:spacing w:line="360" w:lineRule="auto"/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B064C9" w:rsidRDefault="00B064C9" w:rsidP="00B064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64C9" w:rsidRDefault="00B064C9" w:rsidP="00B06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postępowanie,</w:t>
      </w:r>
    </w:p>
    <w:p w:rsidR="00B064C9" w:rsidRDefault="00B064C9" w:rsidP="00B06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uczestniczki Aliny </w:t>
      </w:r>
      <w:proofErr w:type="spellStart"/>
      <w:r>
        <w:rPr>
          <w:rFonts w:ascii="Arial" w:hAnsi="Arial" w:cs="Arial"/>
          <w:sz w:val="22"/>
          <w:szCs w:val="22"/>
        </w:rPr>
        <w:t>Techmańskiej</w:t>
      </w:r>
      <w:proofErr w:type="spellEnd"/>
      <w:r>
        <w:rPr>
          <w:rFonts w:ascii="Arial" w:hAnsi="Arial" w:cs="Arial"/>
          <w:sz w:val="22"/>
          <w:szCs w:val="22"/>
        </w:rPr>
        <w:t xml:space="preserve">, której miejsce pobytu nie jest znane ustanowić kuratora procesowego w osobie adw. Leszka </w:t>
      </w:r>
      <w:proofErr w:type="spellStart"/>
      <w:r>
        <w:rPr>
          <w:rFonts w:ascii="Arial" w:hAnsi="Arial" w:cs="Arial"/>
          <w:sz w:val="22"/>
          <w:szCs w:val="22"/>
        </w:rPr>
        <w:t>Fąfara</w:t>
      </w:r>
      <w:proofErr w:type="spellEnd"/>
      <w:r>
        <w:rPr>
          <w:rFonts w:ascii="Arial" w:hAnsi="Arial" w:cs="Arial"/>
          <w:sz w:val="22"/>
          <w:szCs w:val="22"/>
        </w:rPr>
        <w:t xml:space="preserve"> - Kancelaria Adwokacka w Przeworsku,</w:t>
      </w:r>
    </w:p>
    <w:p w:rsidR="00B064C9" w:rsidRDefault="00B064C9" w:rsidP="00B06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Gminy Tryńcza o ustanowieniu kuratora z oznaczeniem sprawy, w której go ustanowiono oraz wskazaniem jej przedmiotu,</w:t>
      </w:r>
    </w:p>
    <w:p w:rsidR="00B064C9" w:rsidRDefault="00B064C9" w:rsidP="00B06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064C9" w:rsidRDefault="00B064C9" w:rsidP="00B064C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064C9" w:rsidRDefault="00B064C9" w:rsidP="00B064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064C9" w:rsidRDefault="00B064C9" w:rsidP="00B064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064C9" w:rsidRDefault="00B064C9" w:rsidP="00B064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064C9" w:rsidRDefault="00B064C9" w:rsidP="00B06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64C9" w:rsidRDefault="00B064C9" w:rsidP="00B064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64BD" w:rsidRDefault="00A564BD"/>
    <w:sectPr w:rsidR="00A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C9"/>
    <w:rsid w:val="00A564BD"/>
    <w:rsid w:val="00B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9B31-27D5-45E2-B981-0E808114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4C9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64C9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1</cp:revision>
  <dcterms:created xsi:type="dcterms:W3CDTF">2025-05-26T07:46:00Z</dcterms:created>
  <dcterms:modified xsi:type="dcterms:W3CDTF">2025-05-26T07:46:00Z</dcterms:modified>
</cp:coreProperties>
</file>